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0E" w:rsidRDefault="0006100E" w:rsidP="0006100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br/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 14 декабря 2010 г. N 1016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 УТВЕРЖДЕНИИ ПРАВИЛ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ОТБОРА ИНВЕСТИЦИОННЫХ ПРОЕКТОВ И ПРИНЦИПАЛОВ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ДЛЯ ПРЕДОСТАВЛЕНИЯ ГОСУДАРСТВЕННЫХ ГАРАНТИЙ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РОССИЙСКОЙ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ФЕДЕРАЦИИ ПО КРЕДИТАМ ЛИБО ОБЛИГАЦИОННЫМ ЗАЙМАМ,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ПРИВЛЕКАЕМЫМ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НА ОСУЩЕСТВЛЕНИЕ 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18.08.2011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688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06.06.2013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479</w:t>
        </w:r>
      </w:hyperlink>
      <w:r>
        <w:rPr>
          <w:rFonts w:ascii="Arial" w:hAnsi="Arial" w:cs="Arial"/>
          <w:sz w:val="20"/>
          <w:szCs w:val="20"/>
        </w:rPr>
        <w:t xml:space="preserve">, от 28.06.2014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592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25.05.2015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 xml:space="preserve">, от 27.04.2016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N 365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Правительство Российской Федерации постановляет: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Утвердить прилагаемые </w:t>
      </w:r>
      <w:hyperlink w:anchor="Par35" w:history="1">
        <w:r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>
        <w:rPr>
          <w:rFonts w:ascii="Arial" w:hAnsi="Arial" w:cs="Arial"/>
          <w:sz w:val="20"/>
          <w:szCs w:val="20"/>
        </w:rPr>
        <w:t xml:space="preserve">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Подпункт 1 пункта 5</w:t>
        </w:r>
      </w:hyperlink>
      <w:r>
        <w:rPr>
          <w:rFonts w:ascii="Arial" w:hAnsi="Arial" w:cs="Arial"/>
          <w:sz w:val="20"/>
          <w:szCs w:val="20"/>
        </w:rPr>
        <w:t xml:space="preserve"> Положения о Правительственной комиссии по экономическому развитию и интеграции, утвержденного Постановлением Правительства Российской Федерации от 30 декабря 2009 г. N 1166 (Собрание законодательства Российской Федерации, 2010, N 3, ст. 303), дополнить подпунктом "в" следующего содержания: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"в) рассмотрение предложений и принятие в установленном порядке решений по отбору инвестиционных проектов и принципалов для предоставления государственных гарантий Российской Федерации</w:t>
      </w:r>
      <w:proofErr w:type="gramStart"/>
      <w:r>
        <w:rPr>
          <w:rFonts w:ascii="Arial" w:hAnsi="Arial" w:cs="Arial"/>
          <w:sz w:val="20"/>
          <w:szCs w:val="20"/>
        </w:rPr>
        <w:t>;"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Председатель Правительства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В.ПУТИН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Утверждены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14 декабря 2010 г. N 1016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Par35"/>
      <w:bookmarkEnd w:id="1"/>
      <w:r>
        <w:rPr>
          <w:rFonts w:ascii="Arial" w:hAnsi="Arial" w:cs="Arial"/>
          <w:b/>
          <w:bCs/>
          <w:sz w:val="20"/>
          <w:szCs w:val="20"/>
        </w:rPr>
        <w:t>ПРАВИЛА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ОТБОРА ИНВЕСТИЦИОННЫХ ПРОЕКТОВ И ПРИНЦИПАЛОВ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ДЛЯ ПРЕДОСТАВЛЕНИЯ ГОСУДАРСТВЕННЫХ ГАРАНТИЙ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РОССИЙСКОЙ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ФЕДЕРАЦИИ ПО КРЕДИТАМ ЛИБО ОБЛИГАЦИОННЫМ ЗАЙМАМ,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ПРИВЛЕКАЕМЫМ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НА ОСУЩЕСТВЛЕНИЕ 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18.08.2011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N 688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06.06.2013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N 479</w:t>
        </w:r>
      </w:hyperlink>
      <w:r>
        <w:rPr>
          <w:rFonts w:ascii="Arial" w:hAnsi="Arial" w:cs="Arial"/>
          <w:sz w:val="20"/>
          <w:szCs w:val="20"/>
        </w:rPr>
        <w:t xml:space="preserve">, от 28.06.2014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592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25.05.2015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 xml:space="preserve">, от 27.04.2016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N 365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Общие положения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Настоящие Правила устанавливают порядок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 (далее - отбор).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49"/>
      <w:bookmarkEnd w:id="2"/>
      <w:r>
        <w:rPr>
          <w:rFonts w:ascii="Arial" w:hAnsi="Arial" w:cs="Arial"/>
          <w:sz w:val="20"/>
          <w:szCs w:val="20"/>
        </w:rPr>
        <w:lastRenderedPageBreak/>
        <w:t xml:space="preserve">2. </w:t>
      </w:r>
      <w:proofErr w:type="gramStart"/>
      <w:r>
        <w:rPr>
          <w:rFonts w:ascii="Arial" w:hAnsi="Arial" w:cs="Arial"/>
          <w:sz w:val="20"/>
          <w:szCs w:val="20"/>
        </w:rPr>
        <w:t xml:space="preserve">Отбору подлежат инвестиционные проекты, осуществляемые в рамках модернизации российской экономики, имеющие общегосударственное значение, соответствующие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Концепции</w:t>
        </w:r>
      </w:hyperlink>
      <w:r>
        <w:rPr>
          <w:rFonts w:ascii="Arial" w:hAnsi="Arial" w:cs="Arial"/>
          <w:sz w:val="20"/>
          <w:szCs w:val="20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долгосрочным стратегиям развития отрасли (отраслей) и региона (регионов), Основным направлениям деятельности Правительства Российской Федерации на период до 2018 года и направленные на создание</w:t>
      </w:r>
      <w:proofErr w:type="gramEnd"/>
      <w:r>
        <w:rPr>
          <w:rFonts w:ascii="Arial" w:hAnsi="Arial" w:cs="Arial"/>
          <w:sz w:val="20"/>
          <w:szCs w:val="20"/>
        </w:rPr>
        <w:t xml:space="preserve"> новых и (или) на реконструкцию существующих социальных, агропромышленных, промышленных, коммунальных и транспортных объектов и их последующую эксплуатацию, которые реализуются коммерческой организацией, в том числе специально созданной в целях реализации проекта, а также проекты в области энергосбережения и повышения энергетической эффективности в сфере жилищно-коммунального хозяйства и в сфере промышленности (далее - проекты).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18.08.2011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N 688</w:t>
        </w:r>
      </w:hyperlink>
      <w:r>
        <w:rPr>
          <w:rFonts w:ascii="Arial" w:hAnsi="Arial" w:cs="Arial"/>
          <w:sz w:val="20"/>
          <w:szCs w:val="20"/>
        </w:rPr>
        <w:t xml:space="preserve">, от 06.06.2013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N 479</w:t>
        </w:r>
      </w:hyperlink>
      <w:r>
        <w:rPr>
          <w:rFonts w:ascii="Arial" w:hAnsi="Arial" w:cs="Arial"/>
          <w:sz w:val="20"/>
          <w:szCs w:val="20"/>
        </w:rPr>
        <w:t xml:space="preserve">, от 28.06.2014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N 592</w:t>
        </w:r>
      </w:hyperlink>
      <w:r>
        <w:rPr>
          <w:rFonts w:ascii="Arial" w:hAnsi="Arial" w:cs="Arial"/>
          <w:sz w:val="20"/>
          <w:szCs w:val="20"/>
        </w:rPr>
        <w:t xml:space="preserve">, от 25.05.2015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2(1). В целях настоящих Правил применяются понятия, означающие следующее: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"комплексный проект" - проект, который состоит из нескольких взаимосвязанных инвестиционных проектов и </w:t>
      </w:r>
      <w:proofErr w:type="gramStart"/>
      <w:r>
        <w:rPr>
          <w:rFonts w:ascii="Arial" w:hAnsi="Arial" w:cs="Arial"/>
          <w:sz w:val="20"/>
          <w:szCs w:val="20"/>
        </w:rPr>
        <w:t>заключение</w:t>
      </w:r>
      <w:proofErr w:type="gramEnd"/>
      <w:r>
        <w:rPr>
          <w:rFonts w:ascii="Arial" w:hAnsi="Arial" w:cs="Arial"/>
          <w:sz w:val="20"/>
          <w:szCs w:val="20"/>
        </w:rPr>
        <w:t xml:space="preserve"> по которому подготавливается с обязательным участием нескольких федеральных органов исполнительной власти;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"кредитор" - российская кредитная организация либо государственная корпорация "Банк развития и внешнеэкономической деятельности (Внешэкономбанк)", которая предоставляет самостоятельно либо с участием иных российских кредитных организаций и (или) указанной Корпорации кредит (кредиты) на осуществление проекта и является бенефициаром по государственной гарантии Российской Федерации;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"организатор облигационного займа" - юридическое лицо, имеющее лицензию на осуществление брокерской и (или) дилерской деятельности на рынке ценных бумаг и оказывающее принципалу услуги по размещению и обеспечению обращения облигационного займа, привлекаемого в целях осуществления (реализации)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"принципал" - юридическое лицо, осуществляющее подготовку и реализацию проекта и претендующее на получение государственной гарантии Российской Федерации по кредиту либо облигационному займу, привлекаемому на осуществление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"уполномоченный финансовый консультант" - юридическое лицо, оказывающее услуги по подготовке заключений, предусмотренных настоящими Правилами.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2(1)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Критерии отбора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61"/>
      <w:bookmarkEnd w:id="3"/>
      <w:r>
        <w:rPr>
          <w:rFonts w:ascii="Arial" w:hAnsi="Arial" w:cs="Arial"/>
          <w:sz w:val="20"/>
          <w:szCs w:val="20"/>
        </w:rPr>
        <w:t>3. К отбору допускаются проекты, соответствующие следующим критериям: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в отношении всех проектов: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менее 20 процентов полной стоимости проекта финансируются принципалом за счет собственных средств;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общий объем (доля) государственной поддержки, оказываемой Российской Федерацией и (или) субъектами Российской Федерации принципалу по осуществляемому (финансируемому) им проекту в различных формах (заключение концессионных соглашений, внесение взносов в уставный капитал принципала, субсидирование процентных ставок по привлекаемым принципалом кредитам (облигационным займам), предоставление государственных гарантий субъекта Российской Федерации и др.), включая участие государственной корпорации "Банк развития и внешнеэкономической деятельности (Внешэкономбанк)" в финансировании</w:t>
      </w:r>
      <w:proofErr w:type="gramEnd"/>
      <w:r>
        <w:rPr>
          <w:rFonts w:ascii="Arial" w:hAnsi="Arial" w:cs="Arial"/>
          <w:sz w:val="20"/>
          <w:szCs w:val="20"/>
        </w:rPr>
        <w:t xml:space="preserve"> соответствующего проекта и предоставление государственной гарантии Российской Федерации, не должен превышать 75 процентов полной стоимости проекта, осуществляемого (финансируемого) этим принципалом. </w:t>
      </w:r>
      <w:proofErr w:type="gramStart"/>
      <w:r>
        <w:rPr>
          <w:rFonts w:ascii="Arial" w:hAnsi="Arial" w:cs="Arial"/>
          <w:sz w:val="20"/>
          <w:szCs w:val="20"/>
        </w:rPr>
        <w:t>При расчете общего объема (доли) указанной государственной поддержки, оказываемой принципалу по осуществляемому (финансируемому) им инвестиционному проекту, не учитывается сумма кредита, предоставляемого государственной корпорацией "Банк развития и внешнеэкономической деятельности (Внешэкономбанк)" принципалу в целях финансирования указанного проекта, если в качестве источников средств, направляемых на осуществление (финансирование) проекта, используются финансовые ресурсы, привлеченные указанной Корпорацией на установленных для российских кредитных организаций условиях (в том</w:t>
      </w:r>
      <w:proofErr w:type="gramEnd"/>
      <w:r>
        <w:rPr>
          <w:rFonts w:ascii="Arial" w:hAnsi="Arial" w:cs="Arial"/>
          <w:sz w:val="20"/>
          <w:szCs w:val="20"/>
        </w:rPr>
        <w:t xml:space="preserve"> числе в рамках операций Центрального банка Российской Федерации по предоставлению </w:t>
      </w:r>
      <w:proofErr w:type="gramStart"/>
      <w:r>
        <w:rPr>
          <w:rFonts w:ascii="Arial" w:hAnsi="Arial" w:cs="Arial"/>
          <w:sz w:val="20"/>
          <w:szCs w:val="20"/>
        </w:rPr>
        <w:t>ликвидности</w:t>
      </w:r>
      <w:proofErr w:type="gramEnd"/>
      <w:r>
        <w:rPr>
          <w:rFonts w:ascii="Arial" w:hAnsi="Arial" w:cs="Arial"/>
          <w:sz w:val="20"/>
          <w:szCs w:val="20"/>
        </w:rPr>
        <w:t xml:space="preserve"> как постоянного действия, так и на аукционной основе), и при этом не используются средства федерального бюджета, в том числе средства, подлежащие обособленному учету, а также иные меры государственной поддержки;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планируемый объем финансирования проекта за счет обеспеченных государственной гарантией Российской Федерации облигационных займов и (или) кредитов, привлекаемых на его осуществление, составляет не более 50 процентов полной стоимости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в отношении проектов в области энергосбережения и повышения энергетической эффективности в сфере жилищно-коммунального хозяйства: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полная стоимость проекта определяется как сумма капитальных затрат, связанных с созданием, модернизацией или реконструкцией объекта, осуществляемых в рамках реализации проекта, в том числе с момента начала работ по модернизации или реконструкции такого объекта до момента завершения указанных работ, и составляет не менее 500 млн. рублей;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доля участия Российской Федерации, субъектов Российской Федерации, а также муниципальных образований в уставном капитале принципала составляет не более 49 процентов;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возврат (окупаемость) не менее 80 процентов общего объема вложенных средств осуществляется в срок не более 7 лет за счет сокращения потребления энергетических ресурсов и (или) воды;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инвестиции осуществляются в реконструкцию и (или) модернизацию существующей инфраструктуры жилищно-коммунального хозяйства либо в полную замену существующей инфраструктуры на </w:t>
      </w:r>
      <w:proofErr w:type="spellStart"/>
      <w:r>
        <w:rPr>
          <w:rFonts w:ascii="Arial" w:hAnsi="Arial" w:cs="Arial"/>
          <w:sz w:val="20"/>
          <w:szCs w:val="20"/>
        </w:rPr>
        <w:t>энергоэффективную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величина возможного сокращения потребления энергетических ресурсов и (или) воды в абсолютном выражении и (или) на единицу продукции (товара, работы, услуги), подтвержденная энергетическим паспортом, составленным по результатам энергетического обследования, составляет не менее 15 процентов;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в отношении проектов в области энергосбережения и повышения энергетической эффективности в сфере промышленности: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полная стоимость проекта определяется как сумма капитальных затрат, связанных с созданием, модернизацией или реконструкцией объекта, осуществляемых в рамках реализации проекта, в том числе с момента начала работ по модернизации или реконструкции такого объекта до момента завершения указанных работ, и составляет не менее 1 млрд. рублей;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доля участия Российской Федерации, субъектов Российской Федерации, а также муниципальных образований в уставном капитале принципала составляет не более 49 процентов;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возврат (окупаемость) не менее 50 процентов общего объема вложенных средств осуществляется в срок не более 5 лет за счет сокращения потребления энергетических ресурсов и (или) воды в расчете на единицу производимой продукции (товара, работы, услуги);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инвестиции осуществляются в реконструкцию и (или) модернизацию действующего производства, включая производственные линии, введенные в эксплуатацию не ранее года, предшествующего году участия в отборе инвестиционных проектов и принципалов;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инвестиции осуществляются в основные активы принципала (включая оборудование и объекты энергетической инфраструктуры), при этом значение балансовой стоимости объекта (объектов) инвестиций на последнюю отчетную дату должно превышать 1 процент балансовой стоимости всех активов на последнюю отчетную дату или 5 процентов балансовой стоимости </w:t>
      </w:r>
      <w:proofErr w:type="spellStart"/>
      <w:r>
        <w:rPr>
          <w:rFonts w:ascii="Arial" w:hAnsi="Arial" w:cs="Arial"/>
          <w:sz w:val="20"/>
          <w:szCs w:val="20"/>
        </w:rPr>
        <w:t>внеоборотных</w:t>
      </w:r>
      <w:proofErr w:type="spellEnd"/>
      <w:r>
        <w:rPr>
          <w:rFonts w:ascii="Arial" w:hAnsi="Arial" w:cs="Arial"/>
          <w:sz w:val="20"/>
          <w:szCs w:val="20"/>
        </w:rPr>
        <w:t xml:space="preserve"> активов на последнюю отчетную дату;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величина возможного сокращения потребления энергетических ресурсов и (или) воды в абсолютном выражении и (или) на единицу продукции, подтвержденная энергетическим паспортом, составленным по результатам энергетического обследования, составляет не менее 10 процентов;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принципал не должен производить и (или) продавать табачную и алкогольную продукцию;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82"/>
      <w:bookmarkEnd w:id="4"/>
      <w:r>
        <w:rPr>
          <w:rFonts w:ascii="Arial" w:hAnsi="Arial" w:cs="Arial"/>
          <w:sz w:val="20"/>
          <w:szCs w:val="20"/>
        </w:rPr>
        <w:t>г) в отношении иных проектов: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полная стоимость проекта определяется как сумма капитальных затрат, связанных с созданием, модернизацией или реконструкцией объекта, осуществляемых в рамках реализации проекта, с момента начала строительных работ до момента ввода объекта в эксплуатацию, а также связанных с реализацией проекта финансовых затрат (капитализируемые проценты по кредитам в период строительства и расходы по оплате услуг консультантов по организации привлечения для реализации проекта облигационных займов</w:t>
      </w:r>
      <w:proofErr w:type="gramEnd"/>
      <w:r>
        <w:rPr>
          <w:rFonts w:ascii="Arial" w:hAnsi="Arial" w:cs="Arial"/>
          <w:sz w:val="20"/>
          <w:szCs w:val="20"/>
        </w:rPr>
        <w:t xml:space="preserve"> и (или) кредитов) и расходов, связанных с возможной оплатой планируемых договоров, и составляет не менее 5 млрд. рублей (не менее 175 млн. долларов США).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3 в ред.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Критерии отбора принципалов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88"/>
      <w:bookmarkEnd w:id="5"/>
      <w:r>
        <w:rPr>
          <w:rFonts w:ascii="Arial" w:hAnsi="Arial" w:cs="Arial"/>
          <w:sz w:val="20"/>
          <w:szCs w:val="20"/>
        </w:rPr>
        <w:t>4. К отбору допускаются принципалы, соответствующие следующим критериям: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участники (акционеры), доля которых в уставном капитале принципала составляет не менее 10 процентов (далее - участники (акционеры)), и руководящий состав принципала, а также привлекаемые к реализации проекта принципалом подрядчики имеют успешный опыт реализации подобных проектов, в том </w:t>
      </w:r>
      <w:r>
        <w:rPr>
          <w:rFonts w:ascii="Arial" w:hAnsi="Arial" w:cs="Arial"/>
          <w:sz w:val="20"/>
          <w:szCs w:val="20"/>
        </w:rPr>
        <w:lastRenderedPageBreak/>
        <w:t>числе по их выводу на плановую окупаемость, обеспечению достижения запланированных показателей экономической эффективности;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б) у принципала, а также у участников (акционеров) принципала отсутствует просроченная (неурегулированная) задолженность по денежным обязательствам перед Российской Федерацией, а также по обязательным платежам в бюджеты бюджетной системы Российской Федерации;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в отношении принципала в соответствии с законодательством Российской Федерации о несостоятельности (банкротстве) не возбуждено дело о несостоятельности (банкротстве), принципал не находится в процессе реорганизации или ликвидации;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27.04.2016 N 365)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принципал имеет документальное подтверждение со стороны сторонних инвесторов (</w:t>
      </w:r>
      <w:proofErr w:type="spellStart"/>
      <w:r>
        <w:rPr>
          <w:rFonts w:ascii="Arial" w:hAnsi="Arial" w:cs="Arial"/>
          <w:sz w:val="20"/>
          <w:szCs w:val="20"/>
        </w:rPr>
        <w:t>соинвесторов</w:t>
      </w:r>
      <w:proofErr w:type="spellEnd"/>
      <w:r>
        <w:rPr>
          <w:rFonts w:ascii="Arial" w:hAnsi="Arial" w:cs="Arial"/>
          <w:sz w:val="20"/>
          <w:szCs w:val="20"/>
        </w:rPr>
        <w:t>) и (или) кредитных организаций о готовности предоставить финансирование для покрытия той доли от полной стоимости проекта, которая не обеспечена государственной поддержкой и собственными средствами участников (акционеров) принципала;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принципал является юридическим лицом, зарегистрированным на территории Российской Федерации;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"д"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е) отсутствие регистрации юридического лица, являющегося контролирующим лицом инициатора инвестиционного проекта и конечного заемщика, в государстве или на территории, которые предоставляют льготный налоговый режим налогообложения и (или) не предусматривают раскрытие и предоставление информации при проведении финансовых операций (офшорные зоны),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>
        <w:rPr>
          <w:rFonts w:ascii="Arial" w:hAnsi="Arial" w:cs="Arial"/>
          <w:sz w:val="20"/>
          <w:szCs w:val="20"/>
        </w:rPr>
        <w:t xml:space="preserve"> которых утверждается Министерством финансов Российской Федерации;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"е"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принципал имеет удовлетворительное финансовое состояние.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"ж"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27.04.2016 N 365)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Порядок проведения отбора проектов и принципалов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Отбор проектов и принципалов осуществляется: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104"/>
      <w:bookmarkEnd w:id="6"/>
      <w:r>
        <w:rPr>
          <w:rFonts w:ascii="Arial" w:hAnsi="Arial" w:cs="Arial"/>
          <w:sz w:val="20"/>
          <w:szCs w:val="20"/>
        </w:rPr>
        <w:t>а) межведомственной комиссией, образуемой при Министерстве экономического развития Российской Федерации (далее - межведомственная комиссия), в случае: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стоимость проекта в области энергосбережения и повышения энергетической эффективности в сфере жилищно-коммунального хозяйства составляет от 500 млн. рублей до 10 млрд. рублей включительно;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стоимость проекта в области энергосбережения и повышения энергетической эффективности в сфере промышленности составляет от 1 млрд. рублей до 10 млрд. рублей включительно;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если стоимость проекта, предусмотренного </w:t>
      </w:r>
      <w:hyperlink w:anchor="Par82" w:history="1">
        <w:r>
          <w:rPr>
            <w:rFonts w:ascii="Arial" w:hAnsi="Arial" w:cs="Arial"/>
            <w:color w:val="0000FF"/>
            <w:sz w:val="20"/>
            <w:szCs w:val="20"/>
          </w:rPr>
          <w:t>подпунктом "г" пункта 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составляет от 5 млрд. рублей (от 175 млн. долларов США) до 10 млрд. рублей (до 350 млн. долларов США) включительно;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"а" 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109"/>
      <w:bookmarkEnd w:id="7"/>
      <w:r>
        <w:rPr>
          <w:rFonts w:ascii="Arial" w:hAnsi="Arial" w:cs="Arial"/>
          <w:sz w:val="20"/>
          <w:szCs w:val="20"/>
        </w:rPr>
        <w:t xml:space="preserve">б) Правительственной комиссией по экономическому развитию и интеграции, образованной в соответствии с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Российской Федерации от 30 декабря 2009 г. N 1166 (далее - Правительственная комиссия), по представлению межведомственной комиссии - если стоимость проекта составляет свыше 10 млрд. рублей (свыше 350 млн. долларов США).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Сообщение о проведении отбора, форма заявки на участие в отборе и методические рекомендации по ее заполнению, а также перечень необходимых документов и порядок их приема публикуются Министерством экономического развития Российской Федерации в средствах массовой информации, на сайте Министерства в сети Интернет за 1 месяц до начала процедуры отбора.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111"/>
      <w:bookmarkEnd w:id="8"/>
      <w:r>
        <w:rPr>
          <w:rFonts w:ascii="Arial" w:hAnsi="Arial" w:cs="Arial"/>
          <w:sz w:val="20"/>
          <w:szCs w:val="20"/>
        </w:rPr>
        <w:t xml:space="preserve">7. Для участия в отборе принципал, либо кредитор, либо организатор облигационного займа (далее - заявитель) направляет в федеральный орган исполнительной власти, осуществляющий функции по выработке государственной политики и нормативно-правовому регулированию в сфере реализации проекта (далее - уполномоченный федеральный орган), документы согласно </w:t>
      </w:r>
      <w:hyperlink w:anchor="Par200" w:history="1">
        <w:r>
          <w:rPr>
            <w:rFonts w:ascii="Arial" w:hAnsi="Arial" w:cs="Arial"/>
            <w:color w:val="0000FF"/>
            <w:sz w:val="20"/>
            <w:szCs w:val="20"/>
          </w:rPr>
          <w:t>приложению N 1</w:t>
        </w:r>
      </w:hyperlink>
      <w:r>
        <w:rPr>
          <w:rFonts w:ascii="Arial" w:hAnsi="Arial" w:cs="Arial"/>
          <w:sz w:val="20"/>
          <w:szCs w:val="20"/>
        </w:rPr>
        <w:t xml:space="preserve"> в бумажном и электронном виде.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если проект является комплексным, заявитель направляет указанные документы в бумажном и электронном виде в уполномоченные федеральные органы исполнительной власти, осуществляющие функции по выработке государственной политики и нормативно-правовому регулированию в сфере реализации отдельных инвестиционных проектов комплексного проекта (далее - уполномоченные федеральные органы комплексного проекта). Уполномоченные федеральные органы комплексного проекта обеспечивают выполнение предусмотренных настоящими Правилами полномочий </w:t>
      </w:r>
      <w:r>
        <w:rPr>
          <w:rFonts w:ascii="Arial" w:hAnsi="Arial" w:cs="Arial"/>
          <w:sz w:val="20"/>
          <w:szCs w:val="20"/>
        </w:rPr>
        <w:lastRenderedPageBreak/>
        <w:t>уполномоченного федерального органа в отношении отдельных инвестиционных проектов комплексного проекта, относящихся к сфере их деятельности.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а</w:t>
      </w:r>
      <w:proofErr w:type="gramEnd"/>
      <w:r>
        <w:rPr>
          <w:rFonts w:ascii="Arial" w:hAnsi="Arial" w:cs="Arial"/>
          <w:sz w:val="20"/>
          <w:szCs w:val="20"/>
        </w:rPr>
        <w:t xml:space="preserve">бзац введен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непредставления документов, указанных в </w:t>
      </w:r>
      <w:hyperlink w:anchor="Par213" w:history="1">
        <w:r>
          <w:rPr>
            <w:rFonts w:ascii="Arial" w:hAnsi="Arial" w:cs="Arial"/>
            <w:color w:val="0000FF"/>
            <w:sz w:val="20"/>
            <w:szCs w:val="20"/>
          </w:rPr>
          <w:t>пунктах 4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17" w:history="1">
        <w:r>
          <w:rPr>
            <w:rFonts w:ascii="Arial" w:hAnsi="Arial" w:cs="Arial"/>
            <w:color w:val="0000FF"/>
            <w:sz w:val="20"/>
            <w:szCs w:val="20"/>
          </w:rPr>
          <w:t>7 приложения N 1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Правилам, уполномоченный федеральный орган запрашивает соответствующие сведения самостоятельно.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28.06.2014 N 592, 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Для участия в отборе проект должен иметь заключения уполномоченного финансового консультанта, указанные в </w:t>
      </w:r>
      <w:hyperlink w:anchor="Par134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Уполномоченный финансовый консультант выбирается принципалом из числа уполномоченных финансовых консультантов, соответствующих требованиям, предусмотренным </w:t>
      </w:r>
      <w:hyperlink w:anchor="Par120" w:history="1">
        <w:r>
          <w:rPr>
            <w:rFonts w:ascii="Arial" w:hAnsi="Arial" w:cs="Arial"/>
            <w:color w:val="0000FF"/>
            <w:sz w:val="20"/>
            <w:szCs w:val="20"/>
          </w:rPr>
          <w:t>пунктами 9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130" w:history="1">
        <w:r>
          <w:rPr>
            <w:rFonts w:ascii="Arial" w:hAnsi="Arial" w:cs="Arial"/>
            <w:color w:val="0000FF"/>
            <w:sz w:val="20"/>
            <w:szCs w:val="20"/>
          </w:rPr>
          <w:t>10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 Его кандидатура согласовывается с Министерством экономического развития Российской Федерации на предмет соответствия указанным в настоящих Правилах критериям.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120"/>
      <w:bookmarkEnd w:id="9"/>
      <w:r>
        <w:rPr>
          <w:rFonts w:ascii="Arial" w:hAnsi="Arial" w:cs="Arial"/>
          <w:sz w:val="20"/>
          <w:szCs w:val="20"/>
        </w:rPr>
        <w:t>9. Уполномоченный финансовый консультант в отношении проектов в области энергосбережения и повышения энергетической эффективности в сфере жилищно-коммунального хозяйства и в сфере промышленности должен соответствовать одному из следующих критериев: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наличие опыта работы в качестве финансового консультанта по проектам в сфере энергосбережения, энергетики, жилищно-коммунального хозяйства или промышленности стоимостью не менее 1 млрд. рублей каждый в течение 3 предшествующих лет (в том числе в качестве исполнителя);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б) наличие сделок проектного финансирования с суммой кредита не менее 500 млн. рублей каждая, по которым уполномоченный финансовый консультант выступал в качестве кредитора или финансового консультанта по привлечению проектного финансирования, которые достигли финансового закрытия в течение последних 12 месяцев и количество которых составило не менее 2, а за последние 36 месяцев - не менее 6;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наличие опыта работы в качестве финансового консультанта по проектам в сфере транспортной, коммунальной, социальной и промышленной инфраструктуры стоимостью не менее 5 млрд. рублей каждый в течение 3 предшествующих лет (в том числе в качестве исполнителя).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 в ред.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9(1). Уполномоченный финансовый консультант в отношении проектов, предусмотренных </w:t>
      </w:r>
      <w:hyperlink w:anchor="Par82" w:history="1">
        <w:r>
          <w:rPr>
            <w:rFonts w:ascii="Arial" w:hAnsi="Arial" w:cs="Arial"/>
            <w:color w:val="0000FF"/>
            <w:sz w:val="20"/>
            <w:szCs w:val="20"/>
          </w:rPr>
          <w:t>подпунктом "г" пункта 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должен соответствовать одному из следующих критериев: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утратил силу. -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наличие опыта работы в качестве финансового консультанта по проектам в сфере транспортной, коммунальной, социальной и промышленной инфраструктуры стоимостью не менее 5 млрд. рублей каждый в течение 3 предшествующих лет (в том числе в качестве исполнителя);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в) наличие сделок проектного финансирования с суммой кредита не менее 2,5 млрд. рублей каждая, по которым уполномоченный финансовый консультант выступал в качестве кредитора или финансового консультанта по привлечению проектного финансирования, которые достигли финансового закрытия в течение последних 12 месяцев и количество которых составило не менее 2, а за последние 36 месяцев - не менее 6.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9(1)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130"/>
      <w:bookmarkEnd w:id="10"/>
      <w:r>
        <w:rPr>
          <w:rFonts w:ascii="Arial" w:hAnsi="Arial" w:cs="Arial"/>
          <w:sz w:val="20"/>
          <w:szCs w:val="20"/>
        </w:rPr>
        <w:t>10. В качестве уполномоченного финансового консультанта не может выступать аффилированное лицо участника (акционера) принципала, а также аффилированное лицо принципала и аффилированное лицо кредитора либо организатора облигационного займа.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Уполномоченный финансовый консультант с привлечением при необходимости экспертов, специализирующихся в сфере реализации проекта, проводит анализ финансового состояния принципала и его кредитной устойчивости, оценку проекта, включая оценку финансовой модели проекта, и оценку возможных рисков согласно </w:t>
      </w:r>
      <w:hyperlink w:anchor="Par247" w:history="1">
        <w:r>
          <w:rPr>
            <w:rFonts w:ascii="Arial" w:hAnsi="Arial" w:cs="Arial"/>
            <w:color w:val="0000FF"/>
            <w:sz w:val="20"/>
            <w:szCs w:val="20"/>
          </w:rPr>
          <w:t>приложению N 2</w:t>
        </w:r>
      </w:hyperlink>
      <w:r>
        <w:rPr>
          <w:rFonts w:ascii="Arial" w:hAnsi="Arial" w:cs="Arial"/>
          <w:sz w:val="20"/>
          <w:szCs w:val="20"/>
        </w:rPr>
        <w:t xml:space="preserve">, а также проводит экспертизу паспорта проекта согласно </w:t>
      </w:r>
      <w:hyperlink w:anchor="Par303" w:history="1">
        <w:r>
          <w:rPr>
            <w:rFonts w:ascii="Arial" w:hAnsi="Arial" w:cs="Arial"/>
            <w:color w:val="0000FF"/>
            <w:sz w:val="20"/>
            <w:szCs w:val="20"/>
          </w:rPr>
          <w:t>приложению N 3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11 в ред.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134"/>
      <w:bookmarkEnd w:id="11"/>
      <w:r>
        <w:rPr>
          <w:rFonts w:ascii="Arial" w:hAnsi="Arial" w:cs="Arial"/>
          <w:sz w:val="20"/>
          <w:szCs w:val="20"/>
        </w:rPr>
        <w:t>12. После проведения анализа уполномоченный финансовый консультант представляет принципалу следующие документы: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а) заключение, содержащее описание уровня рисков, предусмотренных </w:t>
      </w:r>
      <w:hyperlink w:anchor="Par247" w:history="1">
        <w:r>
          <w:rPr>
            <w:rFonts w:ascii="Arial" w:hAnsi="Arial" w:cs="Arial"/>
            <w:color w:val="0000FF"/>
            <w:sz w:val="20"/>
            <w:szCs w:val="20"/>
          </w:rPr>
          <w:t>приложением N 2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Правилам, с указанием на наличие (отсутствие) существенных рисков, которые могли бы негативно повлиять на решение о предоставлении заемных средств и (или) отборе проекта, итоговую сводную оценку проекта, включая оценку его финансовой модели, и срока (периода) окупаемости всех заемных средств, привлекаемых в целях реализации инвестиционного проекта, рассчитанного в соответствии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с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пунктом 7</w:t>
        </w:r>
      </w:hyperlink>
      <w:r>
        <w:rPr>
          <w:rFonts w:ascii="Arial" w:hAnsi="Arial" w:cs="Arial"/>
          <w:sz w:val="20"/>
          <w:szCs w:val="20"/>
        </w:rPr>
        <w:t xml:space="preserve"> анкеты принципала, предусмотренной приложением N 3 к Правилам предоставления государственных гарантий Российской Федерации по кредитам либо облигационным </w:t>
      </w:r>
      <w:r>
        <w:rPr>
          <w:rFonts w:ascii="Arial" w:hAnsi="Arial" w:cs="Arial"/>
          <w:sz w:val="20"/>
          <w:szCs w:val="20"/>
        </w:rPr>
        <w:lastRenderedPageBreak/>
        <w:t>займам, привлекаемым юридическими лицами, отобранными в порядке, установленном Правительством Российской Федерации, на осуществление инвестиционных проектов, утвержденным постановлением Правительства Российской Федерации от 14 декабря 2010 г. N 1017 "О порядке предоставления государственных гарантий Российской Федерации по кредитам либо облигационным займам, привлекаемым</w:t>
      </w:r>
      <w:proofErr w:type="gramEnd"/>
      <w:r>
        <w:rPr>
          <w:rFonts w:ascii="Arial" w:hAnsi="Arial" w:cs="Arial"/>
          <w:sz w:val="20"/>
          <w:szCs w:val="20"/>
        </w:rPr>
        <w:t xml:space="preserve"> юридическими лицами, отобранными в порядке, установленном Правительством Российской Федерации, на осуществление инвестиционных проектов";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25.05.2015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 xml:space="preserve">, от 27.04.2016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N 365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заключение о том, что информация, указанная в паспорте проекта, соответствует информации, представленной кредитору либо организатору облигационного займа и уполномоченному финансовому консультанту для анализа кредитоспособности проекта и принятия решения о предоставлении заемных средств и (или) отборе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"б" 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заключение об оценке финансового состояния принципала и его кредитной устойчивости.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>. "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" введен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Стоимость услуг финансового консультанта по подготовке и выдаче указанных заключений для проектов в области энергосбережения и повышения энергетической эффективности в сфере жилищно-коммунального хозяйства и в сфере промышленности не может составлять более 0,7 процента размера государственной гарантии.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 </w:t>
      </w:r>
      <w:proofErr w:type="gramStart"/>
      <w:r>
        <w:rPr>
          <w:rFonts w:ascii="Arial" w:hAnsi="Arial" w:cs="Arial"/>
          <w:sz w:val="20"/>
          <w:szCs w:val="20"/>
        </w:rPr>
        <w:t xml:space="preserve">Уполномоченный федеральный орган в течение 15 рабочих дней со дня представления заявителем документов в соответствии с </w:t>
      </w:r>
      <w:hyperlink w:anchor="Par111" w:history="1">
        <w:r>
          <w:rPr>
            <w:rFonts w:ascii="Arial" w:hAnsi="Arial" w:cs="Arial"/>
            <w:color w:val="0000FF"/>
            <w:sz w:val="20"/>
            <w:szCs w:val="20"/>
          </w:rPr>
          <w:t>пунктом 7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 рассматривает вопрос о соответствии проекта и принципала критериям, указанным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пунктах 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1" w:history="1">
        <w:r>
          <w:rPr>
            <w:rFonts w:ascii="Arial" w:hAnsi="Arial" w:cs="Arial"/>
            <w:color w:val="0000FF"/>
            <w:sz w:val="20"/>
            <w:szCs w:val="20"/>
          </w:rPr>
          <w:t>3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88" w:history="1">
        <w:r>
          <w:rPr>
            <w:rFonts w:ascii="Arial" w:hAnsi="Arial" w:cs="Arial"/>
            <w:color w:val="0000FF"/>
            <w:sz w:val="20"/>
            <w:szCs w:val="20"/>
          </w:rPr>
          <w:t>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проверяет комплектность представленных документов и в случае подтверждения соответствия данным требованиям направляет свое заключение и указанные документы в бумажном и электронном виде в</w:t>
      </w:r>
      <w:proofErr w:type="gramEnd"/>
      <w:r>
        <w:rPr>
          <w:rFonts w:ascii="Arial" w:hAnsi="Arial" w:cs="Arial"/>
          <w:sz w:val="20"/>
          <w:szCs w:val="20"/>
        </w:rPr>
        <w:t xml:space="preserve"> межведомственную комиссию.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несоответствия проекта и (или) принципала критериям, указанным в </w:t>
      </w:r>
      <w:hyperlink w:anchor="Par49" w:history="1">
        <w:r>
          <w:rPr>
            <w:rFonts w:ascii="Arial" w:hAnsi="Arial" w:cs="Arial"/>
            <w:color w:val="0000FF"/>
            <w:sz w:val="20"/>
            <w:szCs w:val="20"/>
          </w:rPr>
          <w:t>пунктах 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w:anchor="Par61" w:history="1">
        <w:r>
          <w:rPr>
            <w:rFonts w:ascii="Arial" w:hAnsi="Arial" w:cs="Arial"/>
            <w:color w:val="0000FF"/>
            <w:sz w:val="20"/>
            <w:szCs w:val="20"/>
          </w:rPr>
          <w:t>3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88" w:history="1">
        <w:r>
          <w:rPr>
            <w:rFonts w:ascii="Arial" w:hAnsi="Arial" w:cs="Arial"/>
            <w:color w:val="0000FF"/>
            <w:sz w:val="20"/>
            <w:szCs w:val="20"/>
          </w:rPr>
          <w:t>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а также представленных документов </w:t>
      </w:r>
      <w:hyperlink w:anchor="Par200" w:history="1">
        <w:r>
          <w:rPr>
            <w:rFonts w:ascii="Arial" w:hAnsi="Arial" w:cs="Arial"/>
            <w:color w:val="0000FF"/>
            <w:sz w:val="20"/>
            <w:szCs w:val="20"/>
          </w:rPr>
          <w:t>приложению N 1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 уполномоченный федеральный орган возвращает представленные документы заявителю.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13 в ред.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</w:t>
      </w:r>
      <w:proofErr w:type="gramStart"/>
      <w:r>
        <w:rPr>
          <w:rFonts w:ascii="Arial" w:hAnsi="Arial" w:cs="Arial"/>
          <w:sz w:val="20"/>
          <w:szCs w:val="20"/>
        </w:rPr>
        <w:t xml:space="preserve">Межведомственная комиссия в течение 15 рабочих дней со дня получения от уполномоченного федерального органа документов принимает решение об отборе проекта и принципала (о представлении документов в отношении проекта и принципала для принятия Правительственной комиссией решения об отборе проекта и принципала в соответствии с </w:t>
      </w:r>
      <w:hyperlink w:anchor="Par109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Правил) либо об отказе в отборе проекта и принципала на основании: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заключения по проекту, представленного уполномоченным федеральным органом;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б) заключений уполномоченного финансового консультанта, указанных в </w:t>
      </w:r>
      <w:hyperlink w:anchor="Par134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паспорта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г) подтверждения кредитора либо организатора облигационного займа об организации и обеспечении со своей стороны контроля за целевым использованием кредита (облигационного займа), обеспеченного государственной гарантией Российской Федерации, за исполнением принципалом обязательств по кредиту (облигационному займу), а также подтверждения кредитора либо организатора облигационного займа о готовности предоставить принципалу кредит (обеспечить размещение облигационного займа).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"г" введен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Межведомственная комиссия на основании представленных документов принимает решение: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 отборе проекта, предусмотренного </w:t>
      </w:r>
      <w:hyperlink w:anchor="Par104" w:history="1">
        <w:r>
          <w:rPr>
            <w:rFonts w:ascii="Arial" w:hAnsi="Arial" w:cs="Arial"/>
            <w:color w:val="0000FF"/>
            <w:sz w:val="20"/>
            <w:szCs w:val="20"/>
          </w:rPr>
          <w:t>подпунктом "а" пункта 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 отборе принципала;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результатах рассмотрения проектов стоимостью свыше 10 млрд. рублей (свыше 350 млн. долларов США).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Указанное решение оформляется протоколом.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15 в ред.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16. В случае установления недостоверности сведений, содержащихся в документах, представленных в соответствии с </w:t>
      </w:r>
      <w:hyperlink w:anchor="Par111" w:history="1">
        <w:r>
          <w:rPr>
            <w:rFonts w:ascii="Arial" w:hAnsi="Arial" w:cs="Arial"/>
            <w:color w:val="0000FF"/>
            <w:sz w:val="20"/>
            <w:szCs w:val="20"/>
          </w:rPr>
          <w:t>пунктом 7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процедура отбора проекта и принципала прекращается на любой стадии.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В случае если стоимость проекта составляет свыше 10 млрд. рублей (свыше 350 млн. долларов США), межведомственная комиссия представляет в Правительственную комиссию следующие документы: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протокол заседания межведомственной комиссии о результатах рассмотрения вопроса об отборе проекта и принципала;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б) заключения уполномоченного финансового консультанта, указанные в </w:t>
      </w:r>
      <w:hyperlink w:anchor="Par134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утратил силу. -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паспорт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заключение по проекту, представленное уполномоченным федеральным органом;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проект решения Правительственной комиссии;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ж) копии документов, указанных в </w:t>
      </w:r>
      <w:hyperlink w:anchor="Par200" w:history="1">
        <w:r>
          <w:rPr>
            <w:rFonts w:ascii="Arial" w:hAnsi="Arial" w:cs="Arial"/>
            <w:color w:val="0000FF"/>
            <w:sz w:val="20"/>
            <w:szCs w:val="20"/>
          </w:rPr>
          <w:t>приложении N 1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 и представленных уполномоченным федеральным органом (в электронном виде).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"ж"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Правительственная комиссия на основании представленных документов принимает решение об отборе проекта и принципала в течение 30 дней со дня представления документов.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Межведомственная комиссия или Правительственная комиссия при принятии решения об отборе проекта и принципала определяют федеральный орган исполнительной власти (по согласованию с ним), на который возлагается обязанность осуществлять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целевым использованием кредитов (облигационных займов), обеспеченных государственными гарантиями Российской Федерации, за исполнением принципалами обязательств по кредитам (облигационным займам).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В решении межведомственной комиссии или Правительственной комиссии об отборе проекта и принципала указывается отдельно в отношении проекта, принципала и кредита (облигационного займа):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полное наименование, идентификационный номер налогоплательщика и местонахождение принципала (а также банка и (или) государственной корпорации "Банк развития и внешнеэкономической деятельности (Внешэкономбанк)" - в случае предоставления ими кредита);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полное наименование и стоимость проекта, срок (период) окупаемости всех заемных средств, привлекаемых в целях реализации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27.04.2016 N 365)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условия выпуска облигаций (категория (тип) и форма облигаций, их количество, номинальная стоимость, срок погашения облигаций и выплаты дохода по облигациям в виде процентов) либо сумма кредита, привлекаемого для осуществления (финансирования) проекта, и срок, на который он привлекается;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г) объем (сумма) обязательств принципала по кредиту (облигационному займу), подлежащих обеспечению государственной гарантией Российской Федерации (с указанием отдельно суммы обязательств по выплате номинальной стоимости облигаций при их погашении и дохода по облигациям в виде процентов либо с указанием отдельно суммы обязательств по возврату кредита (погашению основного долга) и уплате процентов за пользование кредитом);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предельная сумма государственной гарантии Российской Федерации;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объем (доля) государственной поддержки, оказываемой принципалу по осуществляемому (финансируемому) им проекту в различных формах, с учетом и без учета государственной гарантии Российской Федерации;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"е" в ред.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ж) наименование федерального органа исполнительной власти, на который возлагается обязанность осуществлять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целевым использованием кредита (облигационного займа), привлеченного принципалом на осуществление (финансирование) проекта и обеспеченного государственной гарантией Российской Федерации, за исполнением принципалом обязательств по кредитному договору (облигационному займу).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Принятые межведомственной комиссией и Правительственной комиссией решения направляются в Министерство финансов Российской Федерации для подготовки проекта акта Правительства Российской Федерации о предоставлении государственной гарантии Российской Федерации.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1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отбора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принципалов для предоставления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государственных гарантий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кредитам либо облигационным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займам, привлекаемым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на осуществление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2" w:name="Par200"/>
      <w:bookmarkEnd w:id="12"/>
      <w:r>
        <w:rPr>
          <w:rFonts w:ascii="Arial" w:hAnsi="Arial" w:cs="Arial"/>
          <w:sz w:val="20"/>
          <w:szCs w:val="20"/>
        </w:rPr>
        <w:t>ПЕРЕЧЕНЬ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ДОКУМЕНТОВ, ПРЕДСТАВЛЯЕМЫХ ПРИНЦИПАЛОМ, ЛИБО КРЕДИТОРОМ,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ЛИБО ОРГАНИЗАТОРОМ ОБЛИГАЦИОННОГО ЗАЙМА ДЛЯ УЧАСТИЯ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ОТБОРЕ ИНВЕСТИЦИОННЫХ ПРОЕКТОВ И ПРИНЦИПАЛОВ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18.08.2011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N 688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28.06.2014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</w:rPr>
          <w:t>N 592</w:t>
        </w:r>
      </w:hyperlink>
      <w:r>
        <w:rPr>
          <w:rFonts w:ascii="Arial" w:hAnsi="Arial" w:cs="Arial"/>
          <w:sz w:val="20"/>
          <w:szCs w:val="20"/>
        </w:rPr>
        <w:t xml:space="preserve">, от 25.05.2015 </w:t>
      </w:r>
      <w:hyperlink r:id="rId60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 xml:space="preserve">, от 27.04.2016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</w:rPr>
          <w:t>N 365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proofErr w:type="gramStart"/>
      <w:r>
        <w:rPr>
          <w:rFonts w:ascii="Arial" w:hAnsi="Arial" w:cs="Arial"/>
          <w:sz w:val="20"/>
          <w:szCs w:val="20"/>
        </w:rPr>
        <w:t>Заявка на участие в отборе, подписанная заявителем (с указанием необходимого объема поддержки проекта с учетом налога на добавленную стоимость в ценах, сложившихся по состоянию на 1 января того года, в котором подана заявка, а также с указанием годовых объемов финансирования проекта в ценах соответствующих лет (с обоснованием необходимости осуществления проекта) и основных ожидаемых результатов его реализации).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Постановлений Правительства РФ от 28.06.2014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</w:rPr>
          <w:t>N 592</w:t>
        </w:r>
      </w:hyperlink>
      <w:r>
        <w:rPr>
          <w:rFonts w:ascii="Arial" w:hAnsi="Arial" w:cs="Arial"/>
          <w:sz w:val="20"/>
          <w:szCs w:val="20"/>
        </w:rPr>
        <w:t xml:space="preserve">, от 25.05.2015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</w:rPr>
          <w:t>N 502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Нотариально заверенные копии учредительных документов принципала со всеми приложениями и изменениями.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Нотариально заверенные копии документов, подтверждающих полномочия единоличных исполнительных органов (уполномоченных лиц) принципала на совершение сделок от имени принципала, главного бухгалтера принципала (решение об избрании, приказ о назначении, приказ о вступлении в должность, трудовой договор, доверенность и др.), а также нотариально заверенные образцы подписей указанных лиц и оттиска печати принципала.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3" w:name="Par213"/>
      <w:bookmarkEnd w:id="13"/>
      <w:r>
        <w:rPr>
          <w:rFonts w:ascii="Arial" w:hAnsi="Arial" w:cs="Arial"/>
          <w:sz w:val="20"/>
          <w:szCs w:val="20"/>
        </w:rPr>
        <w:t>4. Нотариально заверенные копии документов, подтверждающих внесение записи о принципале как юридическом лице в Единый государственный реестр юридических лиц.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Справка принципала о том, что в отношении его не возбуждено дело о несостоятельности (банкротстве) в установленном законодательством Российской Федерации о несостоятельности (банкротстве) порядке, принципал не находится в процессе реорганизации или ликвидации.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27.04.2016 N 365)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Справка принципала об отсутствии у него, а также у участников (акционеров) просроченной (неурегулированной) задолженности по денежным обязательствам перед Российской Федерацией.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4" w:name="Par217"/>
      <w:bookmarkEnd w:id="14"/>
      <w:r>
        <w:rPr>
          <w:rFonts w:ascii="Arial" w:hAnsi="Arial" w:cs="Arial"/>
          <w:sz w:val="20"/>
          <w:szCs w:val="20"/>
        </w:rPr>
        <w:t xml:space="preserve">7. </w:t>
      </w:r>
      <w:proofErr w:type="gramStart"/>
      <w:r>
        <w:rPr>
          <w:rFonts w:ascii="Arial" w:hAnsi="Arial" w:cs="Arial"/>
          <w:sz w:val="20"/>
          <w:szCs w:val="20"/>
        </w:rPr>
        <w:t>Справки налогового органа, территориального органа Пенсионного фонда Российской Федерации и территориального органа Фонда социального страхования Российской Федерации о состоянии расчетов принципала соответственно по налогам, сборам и иным обязательным платежам в бюджеты бюджетной системы Российской Федерации, подтверждающие отсутствие недоимки по уплате налогов, сборов, обязательных платежей, а также задолженности по уплате процентов за пользование бюджетными средствами, пеней, штрафов и иных финансовых санкций.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8 - 9. Утратили силу. -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Паспорт проекта по форме, предусмотренной </w:t>
      </w:r>
      <w:hyperlink w:anchor="Par303" w:history="1">
        <w:r>
          <w:rPr>
            <w:rFonts w:ascii="Arial" w:hAnsi="Arial" w:cs="Arial"/>
            <w:color w:val="0000FF"/>
            <w:sz w:val="20"/>
            <w:szCs w:val="20"/>
          </w:rPr>
          <w:t>приложением N 3</w:t>
        </w:r>
      </w:hyperlink>
      <w:r>
        <w:rPr>
          <w:rFonts w:ascii="Arial" w:hAnsi="Arial" w:cs="Arial"/>
          <w:sz w:val="20"/>
          <w:szCs w:val="20"/>
        </w:rPr>
        <w:t xml:space="preserve"> к Правилам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подписанный руководителем исполнительного органа и главным бухгалтером принципала.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</w:t>
      </w:r>
      <w:proofErr w:type="gramStart"/>
      <w:r>
        <w:rPr>
          <w:rFonts w:ascii="Arial" w:hAnsi="Arial" w:cs="Arial"/>
          <w:sz w:val="20"/>
          <w:szCs w:val="20"/>
        </w:rPr>
        <w:t xml:space="preserve">Заключения уполномоченного финансового консультанта, предусмотренные </w:t>
      </w:r>
      <w:hyperlink w:anchor="Par134" w:history="1">
        <w:r>
          <w:rPr>
            <w:rFonts w:ascii="Arial" w:hAnsi="Arial" w:cs="Arial"/>
            <w:color w:val="0000FF"/>
            <w:sz w:val="20"/>
            <w:szCs w:val="20"/>
          </w:rPr>
          <w:t>пунктом 12</w:t>
        </w:r>
      </w:hyperlink>
      <w:r>
        <w:rPr>
          <w:rFonts w:ascii="Arial" w:hAnsi="Arial" w:cs="Arial"/>
          <w:sz w:val="20"/>
          <w:szCs w:val="20"/>
        </w:rPr>
        <w:t xml:space="preserve">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утвержденных постановлением Правительства Российской Федерации от 14 декабря 2010 г. N 1016 "Об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</w:t>
      </w:r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привлекаемым</w:t>
      </w:r>
      <w:proofErr w:type="gramEnd"/>
      <w:r>
        <w:rPr>
          <w:rFonts w:ascii="Arial" w:hAnsi="Arial" w:cs="Arial"/>
          <w:sz w:val="20"/>
          <w:szCs w:val="20"/>
        </w:rPr>
        <w:t xml:space="preserve"> на осуществление инвестиционных проектов".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11 в ред.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 Подтверждение кредитора либо организатора облигационного займа об организации и обеспечении со своей стороны </w:t>
      </w:r>
      <w:proofErr w:type="gramStart"/>
      <w:r>
        <w:rPr>
          <w:rFonts w:ascii="Arial" w:hAnsi="Arial" w:cs="Arial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sz w:val="20"/>
          <w:szCs w:val="20"/>
        </w:rPr>
        <w:t xml:space="preserve"> целевым использованием кредита (облигационного займа), обеспеченного государственной гарантией Российской Федерации, за исполнением принципалом обязательств по кредиту (облигационному займу), а также подтверждение кредитора либо организатора облигационного займа о готовности предоставить принципалу кредит (обеспечить размещение облигационного займа).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12 в ред. </w:t>
      </w:r>
      <w:hyperlink r:id="rId6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13. Энергетический паспорт, составленный не позднее 18 месяцев </w:t>
      </w:r>
      <w:proofErr w:type="gramStart"/>
      <w:r>
        <w:rPr>
          <w:rFonts w:ascii="Arial" w:hAnsi="Arial" w:cs="Arial"/>
          <w:sz w:val="20"/>
          <w:szCs w:val="20"/>
        </w:rPr>
        <w:t>с даты подачи</w:t>
      </w:r>
      <w:proofErr w:type="gramEnd"/>
      <w:r>
        <w:rPr>
          <w:rFonts w:ascii="Arial" w:hAnsi="Arial" w:cs="Arial"/>
          <w:sz w:val="20"/>
          <w:szCs w:val="20"/>
        </w:rPr>
        <w:t xml:space="preserve"> заявки на участие в отборе (для проектов в области энергосбережения и повышения энергетической эффективности в сфере жилищно-коммунального хозяйства и в сфере промышленности).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п</w:t>
      </w:r>
      <w:proofErr w:type="gramEnd"/>
      <w:r>
        <w:rPr>
          <w:rFonts w:ascii="Arial" w:hAnsi="Arial" w:cs="Arial"/>
          <w:sz w:val="20"/>
          <w:szCs w:val="20"/>
        </w:rPr>
        <w:t xml:space="preserve">. 13 введен </w:t>
      </w:r>
      <w:hyperlink r:id="rId6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 Справка государственной корпорации "Банк развития и внешнеэкономической деятельности (Внешэкономбанк)" о предполагаемом использовании (отсутствии) средств федерального бюджета, в том числе средств, подлежащих обособленному учету, а также иных мер государственной поддержки в любой форме (за исключением операций Центрального банка Российской Федерации по предоставлению </w:t>
      </w:r>
      <w:proofErr w:type="gramStart"/>
      <w:r>
        <w:rPr>
          <w:rFonts w:ascii="Arial" w:hAnsi="Arial" w:cs="Arial"/>
          <w:sz w:val="20"/>
          <w:szCs w:val="20"/>
        </w:rPr>
        <w:t>ликвидности</w:t>
      </w:r>
      <w:proofErr w:type="gramEnd"/>
      <w:r>
        <w:rPr>
          <w:rFonts w:ascii="Arial" w:hAnsi="Arial" w:cs="Arial"/>
          <w:sz w:val="20"/>
          <w:szCs w:val="20"/>
        </w:rPr>
        <w:t xml:space="preserve"> как постоянного действия, так и проводимых на аукционной основе) в качестве источников средств государственной корпорации "Банк развития и внешнеэкономической деятельности (Внешэкономбанк)", </w:t>
      </w:r>
      <w:proofErr w:type="gramStart"/>
      <w:r>
        <w:rPr>
          <w:rFonts w:ascii="Arial" w:hAnsi="Arial" w:cs="Arial"/>
          <w:sz w:val="20"/>
          <w:szCs w:val="20"/>
        </w:rPr>
        <w:t>направляемых</w:t>
      </w:r>
      <w:proofErr w:type="gramEnd"/>
      <w:r>
        <w:rPr>
          <w:rFonts w:ascii="Arial" w:hAnsi="Arial" w:cs="Arial"/>
          <w:sz w:val="20"/>
          <w:szCs w:val="20"/>
        </w:rPr>
        <w:t xml:space="preserve"> на осуществление (финансирование) проекта, - в случае участия государственной корпорации "Банк развития и внешнеэкономической деятельности (Внешэкономбанк)" в финансировании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14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7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15. </w:t>
      </w:r>
      <w:proofErr w:type="gramStart"/>
      <w:r>
        <w:rPr>
          <w:rFonts w:ascii="Arial" w:hAnsi="Arial" w:cs="Arial"/>
          <w:sz w:val="20"/>
          <w:szCs w:val="20"/>
        </w:rPr>
        <w:t xml:space="preserve">Анкета принципала по форме согласно </w:t>
      </w:r>
      <w:hyperlink r:id="rId71" w:history="1">
        <w:r>
          <w:rPr>
            <w:rFonts w:ascii="Arial" w:hAnsi="Arial" w:cs="Arial"/>
            <w:color w:val="0000FF"/>
            <w:sz w:val="20"/>
            <w:szCs w:val="20"/>
          </w:rPr>
          <w:t>приложению N 3</w:t>
        </w:r>
      </w:hyperlink>
      <w:r>
        <w:rPr>
          <w:rFonts w:ascii="Arial" w:hAnsi="Arial" w:cs="Arial"/>
          <w:sz w:val="20"/>
          <w:szCs w:val="20"/>
        </w:rPr>
        <w:t xml:space="preserve"> к Правилам предоставления государственных гарантий Российской Федерации по кредитам либо облигационным займам, привлекаемым юридическими лицами, отобранными в порядке, установленном Правительством Российской Федерации, на осуществление инвестиционных проектов, утвержденным постановлением Правительства Российской Федерации от 14 декабря 2010 г. N 1017 "О порядке предоставления государственных гарантий Российской Федерации по кредитам либо облигационным займам, привлекаемым юридическими</w:t>
      </w:r>
      <w:proofErr w:type="gramEnd"/>
      <w:r>
        <w:rPr>
          <w:rFonts w:ascii="Arial" w:hAnsi="Arial" w:cs="Arial"/>
          <w:sz w:val="20"/>
          <w:szCs w:val="20"/>
        </w:rPr>
        <w:t xml:space="preserve"> лицами, отобранными в порядке, установленном Правительством Российской Федерации, на осуществление инвестиционных проектов".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15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7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27.04.2016 N 365)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2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отбора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принципалов для предоставления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государственных гарантий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кредитам либо облигационным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займам, привлекаемым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осуществление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5" w:name="Par247"/>
      <w:bookmarkEnd w:id="15"/>
      <w:r>
        <w:rPr>
          <w:rFonts w:ascii="Arial" w:hAnsi="Arial" w:cs="Arial"/>
          <w:sz w:val="20"/>
          <w:szCs w:val="20"/>
        </w:rPr>
        <w:t>ПЕРЕЧЕНЬ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РИСКОВ, РАССМАТРИВАЕМЫХ ПРИ ОТБОРЕ ИНВЕСТИЦИОННЫХ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ПРОЕКТОВ И ПРИНЦИПАЛОВ ДЛЯ ПРЕДОСТАВЛЕНИЯ ГОСУДАРСТВЕННЫХ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ГАРАНТИЙ 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Оценка рисков контрактной схемы - изучение следующих прямых договоров (контрактов), заключенных принципалом для обеспечения своей экономической деятельности: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договоры поставки сырья;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договоры строительного подряда;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договоры купли-продажи готового товара или предоставления услуг;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договоры технического обслуживания основного оборудования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контракты, обеспечивающие осуществление проекта, регулирующие взаимоотношения с кредиторами и арендодателями, и договоры, обеспечивающие права кредиторов;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иные договоры (контракты).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Технические риски, связанные с реализацией и последующей эксплуатацией проекта: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строительные риски проекта, относящиеся к стадии разработки, дизайна и строительства проекта (дизайн и предлагаемое инженерное решение, план строительных работ, участок и расположение проекта, разрешения на проведение работ, риски нарушения графика и бюджета строительства, риски, связанные с </w:t>
      </w:r>
      <w:r>
        <w:rPr>
          <w:rFonts w:ascii="Arial" w:hAnsi="Arial" w:cs="Arial"/>
          <w:sz w:val="20"/>
          <w:szCs w:val="20"/>
        </w:rPr>
        <w:lastRenderedPageBreak/>
        <w:t>тестированием и запуском проекта в эксплуатацию (включая риски соответствия проекта изначальным техническим требованиям), риски нарушения срока строительства объектов, от которых зависит успешное функционирование проекта</w:t>
      </w:r>
      <w:proofErr w:type="gramEnd"/>
      <w:r>
        <w:rPr>
          <w:rFonts w:ascii="Arial" w:hAnsi="Arial" w:cs="Arial"/>
          <w:sz w:val="20"/>
          <w:szCs w:val="20"/>
        </w:rPr>
        <w:t xml:space="preserve">, но </w:t>
      </w:r>
      <w:proofErr w:type="gramStart"/>
      <w:r>
        <w:rPr>
          <w:rFonts w:ascii="Arial" w:hAnsi="Arial" w:cs="Arial"/>
          <w:sz w:val="20"/>
          <w:szCs w:val="20"/>
        </w:rPr>
        <w:t>которые</w:t>
      </w:r>
      <w:proofErr w:type="gramEnd"/>
      <w:r>
        <w:rPr>
          <w:rFonts w:ascii="Arial" w:hAnsi="Arial" w:cs="Arial"/>
          <w:sz w:val="20"/>
          <w:szCs w:val="20"/>
        </w:rPr>
        <w:t xml:space="preserve"> не входят в сам проект;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риски, относящиеся к стадии эксплуатации проекта (текущий и капитальный ремонт, эксплуатация проекта, риски оператора).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Конкурентоспособность проекта, подверженность рыночным рискам: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особенности индустрии проекта (например, цикличность и др.);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риски, связанные с ценой производимого товара или предоставляемых услуг;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риски, связанные с ценой потребляемых материалов и компонентов;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 изменения спроса;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валютные риски;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источники конкурентных преимуще</w:t>
      </w:r>
      <w:proofErr w:type="gramStart"/>
      <w:r>
        <w:rPr>
          <w:rFonts w:ascii="Arial" w:hAnsi="Arial" w:cs="Arial"/>
          <w:sz w:val="20"/>
          <w:szCs w:val="20"/>
        </w:rPr>
        <w:t>ств пр</w:t>
      </w:r>
      <w:proofErr w:type="gramEnd"/>
      <w:r>
        <w:rPr>
          <w:rFonts w:ascii="Arial" w:hAnsi="Arial" w:cs="Arial"/>
          <w:sz w:val="20"/>
          <w:szCs w:val="20"/>
        </w:rPr>
        <w:t>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риск потенциального появления конкурентных производителей или конкурирующих технологий.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Правовая структура проекта (анализ распределения рисков между кредиторами и прочими участниками проекта).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Риски контрагентов принципала (рассмотрение финансовой состоятельности сторон, от выполнения обязательств которыми зависит способность принципала выполнять свои собственные финансовые обязательства).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основным контрагентам принципала относятся: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поставщики товаров и исполнители услуг;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покупатели производимого товара и предоставляемых услуг;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строительные подрядчики и субподрядчики;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эксплуатирующие организации;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инвесторы (риски несвоевременного предоставления средств инвестора в уставный капитал, гарантии завершения строительства);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кредиторы (риск несвоевременного предоставления средств на строительство);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финансовые партнеры по сделкам хеджирования или страхования;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поручители контрагентов.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proofErr w:type="gramStart"/>
      <w:r>
        <w:rPr>
          <w:rFonts w:ascii="Arial" w:hAnsi="Arial" w:cs="Arial"/>
          <w:sz w:val="20"/>
          <w:szCs w:val="20"/>
        </w:rPr>
        <w:t>Финансовая и экономическая устойчивость (оценка способности принципала выплатить привлеченные заемные средства в срок и в соответствии с заранее согласованным графиком их погашения путем проведения анализа детальной финансовой модели проекта, учитывающей рыночные данные (например, прогнозы развития цен и спроса).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Анализ включает в себя построение различных сценариев развития событий (спад спроса и цен, изменение инфляционных параметров, увеличение стоимости строительства и т.п.) с целью определения зависимости проекта от различных экономических факторов, их влияния на возможность принципала обслуживать свой долг даже в случае, если события будут развиваться с отклонением от базового сценария.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Анализ опирается на расчеты различных кредитно-финансовых характеристик (таких, например, как коэффициенты покрытия обслуживания долга, коэффициенты долговой нагрузки, соотношение собственных и заемных средств и др.) и может осуществляться также по иным параметрам, оказывающим значительное влияние на оценку кредитного риска проекта в целом).</w:t>
      </w:r>
      <w:proofErr w:type="gramEnd"/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проектов в области энергосбережения и повышения энергетической эффективности в сфере жилищно-коммунального хозяйства и в сфере промышленности дополнительно осуществляется анализ финансово-экономической деятельности принципала.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7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18.08.2011 N 688)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3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Правилам отбора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принципалов для предоставления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государственных гарантий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кредитам либо облигационным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займам, привлекаемым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осуществление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инвестиционных проектов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16" w:name="Par303"/>
      <w:bookmarkEnd w:id="16"/>
      <w:r>
        <w:rPr>
          <w:rFonts w:ascii="Arial" w:hAnsi="Arial" w:cs="Arial"/>
          <w:sz w:val="20"/>
          <w:szCs w:val="20"/>
        </w:rPr>
        <w:lastRenderedPageBreak/>
        <w:t>ПАСПОРТ ИНВЕСТИЦИОННОГО ПРОЕКТА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25.05.2015 N 502)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Наименование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Краткое описание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Участники инвестиционного проекта: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юридическое лицо, реализующее инвестиционный проект, его опыт реализации подобных проектов;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акционеры (учредители) юридического лица, реализующего инвестиционный проект, владеющие пакетом акций более 10 процентов, их опыт реализации аналогичных проектов;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ключевые руководители юридического лица, имеющие отношение к непосредственной реализации инвестиционного проекта, их опыт реализации аналогичных проектов.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Цели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Вклад инвестиционного проекта в достижение целей отраслевой стратегии, стратегии развития региона и целевых показателей государственных программ Российской Федерации.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Оценка потенциального спроса (объема рынка) на продукцию (услуги).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Срок реализации инвестиционного проекта: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фаза строительства;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фаза эксплуатации;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детальный план мероприятий по реализации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Объем капитальных вложений в ценах соответствующих лет.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Объем и источник финансирования: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заемное финансирование, планируемый срок погашения кредитов и займов;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собственный капитал;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средства участников инвестиционного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бюджетные ассигнования федерального бюджета на реализацию инвестиционного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бюджетные ассигнования бюджетов субъектов Российской Федерации и местных бюджетов на реализацию инвестиционного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средства Фонда национального благосостояния (с указанием предельного объема средств Фонда национального благосостояния, предельного срока и минимальной доходности их размещения, а также видов ценных бумаг, выпускаемых для финансирования инвестиционного проекта);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средства пенсионных накоплений (с указанием предельного объема средств пенсионных накоплений, предельного срока и минимальной доходности их размещения, а также видов ценных бумаг, выпускаемых для финансирования инвестиционного проекта);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средства институтов развития и государственных корпораций;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налоговые льготы и таможенные преференции.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Рейтинг долгосрочной кредитоспособности инициатора (если применимо).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Показатели финансовой эффективности инвестиционного проекта для частных инвесторов (с учетом всех мер государственной поддержки):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объем инвестиций в проект;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срок окупаемости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чистая приведенная стоимость проекта;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внутренняя норма доходности;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средневзвешенная стоимость капитала;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доходность на собственный капитал;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доходность на заемный капитал.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Бюджетная эффективность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Анализ сильных и слабых сторон, возможностей и угроз инвестиционного проекта.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Ответственный исполнитель инвестиционного проекта и его контактные данные.</w:t>
      </w: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6100E" w:rsidRDefault="0006100E" w:rsidP="0006100E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B52460" w:rsidRDefault="00B52460"/>
    <w:sectPr w:rsidR="00B52460" w:rsidSect="00223A0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0E"/>
    <w:rsid w:val="0006100E"/>
    <w:rsid w:val="00B5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6B3325A9FD217F28F60756BDC20684E38AB4F9409DF6919BC165672EF1AF3DD2333E97064729EEDI4q3N" TargetMode="External"/><Relationship Id="rId21" Type="http://schemas.openxmlformats.org/officeDocument/2006/relationships/hyperlink" Target="consultantplus://offline/ref=66B3325A9FD217F28F60756BDC20684E38AB4F9409DF6919BC165672EF1AF3DD2333E97064729EEEI4q2N" TargetMode="External"/><Relationship Id="rId42" Type="http://schemas.openxmlformats.org/officeDocument/2006/relationships/hyperlink" Target="consultantplus://offline/ref=66B3325A9FD217F28F60756BDC20684E38AA489305DC6919BC165672EF1AF3DD2333E97266I7qBN" TargetMode="External"/><Relationship Id="rId47" Type="http://schemas.openxmlformats.org/officeDocument/2006/relationships/hyperlink" Target="consultantplus://offline/ref=66B3325A9FD217F28F60756BDC20684E38A748910ADB6919BC165672EF1AF3DD2333E97064729EEAI4q4N" TargetMode="External"/><Relationship Id="rId63" Type="http://schemas.openxmlformats.org/officeDocument/2006/relationships/hyperlink" Target="consultantplus://offline/ref=66B3325A9FD217F28F60756BDC20684E38AB4F9409DF6919BC165672EF1AF3DD2333E97064729EE9I4q5N" TargetMode="External"/><Relationship Id="rId68" Type="http://schemas.openxmlformats.org/officeDocument/2006/relationships/hyperlink" Target="consultantplus://offline/ref=66B3325A9FD217F28F60756BDC20684E38AB4F9409DF6919BC165672EF1AF3DD2333E97064729EE9I4qEN" TargetMode="External"/><Relationship Id="rId16" Type="http://schemas.openxmlformats.org/officeDocument/2006/relationships/hyperlink" Target="consultantplus://offline/ref=66B3325A9FD217F28F60756BDC20684E30A349950DD73413B44F5A70E815ACCA247AE57164729EIEq7N" TargetMode="External"/><Relationship Id="rId11" Type="http://schemas.openxmlformats.org/officeDocument/2006/relationships/hyperlink" Target="consultantplus://offline/ref=66B3325A9FD217F28F60756BDC20684E38A748910ADB6919BC165672EF1AF3DD2333E97064729EEFI4qFN" TargetMode="External"/><Relationship Id="rId24" Type="http://schemas.openxmlformats.org/officeDocument/2006/relationships/hyperlink" Target="consultantplus://offline/ref=66B3325A9FD217F28F60756BDC20684E38A748910ADB6919BC165672EF1AF3DD2333E97064729EEEI4q2N" TargetMode="External"/><Relationship Id="rId32" Type="http://schemas.openxmlformats.org/officeDocument/2006/relationships/hyperlink" Target="consultantplus://offline/ref=66B3325A9FD217F28F60756BDC20684E38AB4F9409DF6919BC165672EF1AF3DD2333E97064729EEDI4qFN" TargetMode="External"/><Relationship Id="rId37" Type="http://schemas.openxmlformats.org/officeDocument/2006/relationships/hyperlink" Target="consultantplus://offline/ref=66B3325A9FD217F28F60756BDC20684E38A748910ADB6919BC165672EF1AF3DD2333E97064729EEBI4q4N" TargetMode="External"/><Relationship Id="rId40" Type="http://schemas.openxmlformats.org/officeDocument/2006/relationships/hyperlink" Target="consultantplus://offline/ref=66B3325A9FD217F28F60756BDC20684E38AB4F9409DF6919BC165672EF1AF3DD2333E97064729EECI4q3N" TargetMode="External"/><Relationship Id="rId45" Type="http://schemas.openxmlformats.org/officeDocument/2006/relationships/hyperlink" Target="consultantplus://offline/ref=66B3325A9FD217F28F60756BDC20684E38AB4F9409DF6919BC165672EF1AF3DD2333E97064729EEBI4q7N" TargetMode="External"/><Relationship Id="rId53" Type="http://schemas.openxmlformats.org/officeDocument/2006/relationships/hyperlink" Target="consultantplus://offline/ref=66B3325A9FD217F28F60756BDC20684E38AB4F9409DF6919BC165672EF1AF3DD2333E97064729EEAI4q2N" TargetMode="External"/><Relationship Id="rId58" Type="http://schemas.openxmlformats.org/officeDocument/2006/relationships/hyperlink" Target="consultantplus://offline/ref=66B3325A9FD217F28F60756BDC20684E38A748910ADB6919BC165672EF1AF3DD2333E97064729EE9I4q6N" TargetMode="External"/><Relationship Id="rId66" Type="http://schemas.openxmlformats.org/officeDocument/2006/relationships/hyperlink" Target="consultantplus://offline/ref=66B3325A9FD217F28F60756BDC20684E38AB4F9409DF6919BC165672EF1AF3DD2333E97064729EE9I4q3N" TargetMode="External"/><Relationship Id="rId74" Type="http://schemas.openxmlformats.org/officeDocument/2006/relationships/hyperlink" Target="consultantplus://offline/ref=66B3325A9FD217F28F60756BDC20684E38A748910ADB6919BC165672EF1AF3DD2333E97064729EE9I4q4N" TargetMode="External"/><Relationship Id="rId5" Type="http://schemas.openxmlformats.org/officeDocument/2006/relationships/hyperlink" Target="consultantplus://offline/ref=66B3325A9FD217F28F60756BDC20684E38A748910ADB6919BC165672EF1AF3DD2333E97064729EEFI4qFN" TargetMode="External"/><Relationship Id="rId61" Type="http://schemas.openxmlformats.org/officeDocument/2006/relationships/hyperlink" Target="consultantplus://offline/ref=66B3325A9FD217F28F60756BDC20684E38AA48930DD56919BC165672EF1AF3DD2333E97064729EEEI4q0N" TargetMode="External"/><Relationship Id="rId19" Type="http://schemas.openxmlformats.org/officeDocument/2006/relationships/hyperlink" Target="consultantplus://offline/ref=66B3325A9FD217F28F60756BDC20684E38A54B9C0BDC6919BC165672EF1AF3DD2333E97064729EEFI4qFN" TargetMode="External"/><Relationship Id="rId14" Type="http://schemas.openxmlformats.org/officeDocument/2006/relationships/hyperlink" Target="consultantplus://offline/ref=66B3325A9FD217F28F60756BDC20684E38AB4F9409DF6919BC165672EF1AF3DD2333E97064729EEEI4q6N" TargetMode="External"/><Relationship Id="rId22" Type="http://schemas.openxmlformats.org/officeDocument/2006/relationships/hyperlink" Target="consultantplus://offline/ref=66B3325A9FD217F28F60756BDC20684E38AB4F9409DF6919BC165672EF1AF3DD2333E97064729EEDI4q5N" TargetMode="External"/><Relationship Id="rId27" Type="http://schemas.openxmlformats.org/officeDocument/2006/relationships/hyperlink" Target="consultantplus://offline/ref=66B3325A9FD217F28F60756BDC20684E38A44E960BD46919BC165672EF1AF3DD2333E9I7q4N" TargetMode="External"/><Relationship Id="rId30" Type="http://schemas.openxmlformats.org/officeDocument/2006/relationships/hyperlink" Target="consultantplus://offline/ref=66B3325A9FD217F28F60756BDC20684E38A748910ADB6919BC165672EF1AF3DD2333E97064729EECI4q0N" TargetMode="External"/><Relationship Id="rId35" Type="http://schemas.openxmlformats.org/officeDocument/2006/relationships/hyperlink" Target="consultantplus://offline/ref=66B3325A9FD217F28F60756BDC20684E38AB4F9409DF6919BC165672EF1AF3DD2333E97064729EECI4q5N" TargetMode="External"/><Relationship Id="rId43" Type="http://schemas.openxmlformats.org/officeDocument/2006/relationships/hyperlink" Target="consultantplus://offline/ref=66B3325A9FD217F28F60756BDC20684E38AB4F9409DF6919BC165672EF1AF3DD2333E97064729EECI4qFN" TargetMode="External"/><Relationship Id="rId48" Type="http://schemas.openxmlformats.org/officeDocument/2006/relationships/hyperlink" Target="consultantplus://offline/ref=66B3325A9FD217F28F60756BDC20684E38AB4F9409DF6919BC165672EF1AF3DD2333E97064729EEBI4q2N" TargetMode="External"/><Relationship Id="rId56" Type="http://schemas.openxmlformats.org/officeDocument/2006/relationships/hyperlink" Target="consultantplus://offline/ref=66B3325A9FD217F28F60756BDC20684E38AA48930DD56919BC165672EF1AF3DD2333E97064729EEEI4q3N" TargetMode="External"/><Relationship Id="rId64" Type="http://schemas.openxmlformats.org/officeDocument/2006/relationships/hyperlink" Target="consultantplus://offline/ref=66B3325A9FD217F28F60756BDC20684E38AA48930DD56919BC165672EF1AF3DD2333E97064729EEEI4q1N" TargetMode="External"/><Relationship Id="rId69" Type="http://schemas.openxmlformats.org/officeDocument/2006/relationships/hyperlink" Target="consultantplus://offline/ref=66B3325A9FD217F28F60756BDC20684E38A748910ADB6919BC165672EF1AF3DD2333E97064729EE9I4q6N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66B3325A9FD217F28F60756BDC20684E38AB4F9409DF6919BC165672EF1AF3DD2333E97064729EEEI4q6N" TargetMode="External"/><Relationship Id="rId51" Type="http://schemas.openxmlformats.org/officeDocument/2006/relationships/hyperlink" Target="consultantplus://offline/ref=66B3325A9FD217F28F60756BDC20684E38AB4F9409DF6919BC165672EF1AF3DD2333E97064729EEAI4q7N" TargetMode="External"/><Relationship Id="rId72" Type="http://schemas.openxmlformats.org/officeDocument/2006/relationships/hyperlink" Target="consultantplus://offline/ref=66B3325A9FD217F28F60756BDC20684E38AA48930DD56919BC165672EF1AF3DD2333E97064729EEEI4qE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6B3325A9FD217F28F60756BDC20684E38A5499C0FD56919BC165672EF1AF3DD2333E97064729EEEI4q6N" TargetMode="External"/><Relationship Id="rId17" Type="http://schemas.openxmlformats.org/officeDocument/2006/relationships/hyperlink" Target="consultantplus://offline/ref=66B3325A9FD217F28F60756BDC20684E38A748910ADB6919BC165672EF1AF3DD2333E97064729EEEI4q6N" TargetMode="External"/><Relationship Id="rId25" Type="http://schemas.openxmlformats.org/officeDocument/2006/relationships/hyperlink" Target="consultantplus://offline/ref=66B3325A9FD217F28F60756BDC20684E38AA48930DD56919BC165672EF1AF3DD2333E97064729EEEI4q7N" TargetMode="External"/><Relationship Id="rId33" Type="http://schemas.openxmlformats.org/officeDocument/2006/relationships/hyperlink" Target="consultantplus://offline/ref=66B3325A9FD217F28F60756BDC20684E38AB4F9409DF6919BC165672EF1AF3DD2333E97064729EECI4q7N" TargetMode="External"/><Relationship Id="rId38" Type="http://schemas.openxmlformats.org/officeDocument/2006/relationships/hyperlink" Target="consultantplus://offline/ref=66B3325A9FD217F28F60756BDC20684E38AB4F9409DF6919BC165672EF1AF3DD2333E97064729EECI4q2N" TargetMode="External"/><Relationship Id="rId46" Type="http://schemas.openxmlformats.org/officeDocument/2006/relationships/hyperlink" Target="consultantplus://offline/ref=66B3325A9FD217F28F60756BDC20684E38AB4F9409DF6919BC165672EF1AF3DD2333E97064729EEBI4q4N" TargetMode="External"/><Relationship Id="rId59" Type="http://schemas.openxmlformats.org/officeDocument/2006/relationships/hyperlink" Target="consultantplus://offline/ref=66B3325A9FD217F28F60756BDC20684E38A54B9C0BDC6919BC165672EF1AF3DD2333E97064729EEEI4q5N" TargetMode="External"/><Relationship Id="rId67" Type="http://schemas.openxmlformats.org/officeDocument/2006/relationships/hyperlink" Target="consultantplus://offline/ref=66B3325A9FD217F28F60756BDC20684E38AB4F9409DF6919BC165672EF1AF3DD2333E97064729EE9I4q0N" TargetMode="External"/><Relationship Id="rId20" Type="http://schemas.openxmlformats.org/officeDocument/2006/relationships/hyperlink" Target="consultantplus://offline/ref=66B3325A9FD217F28F60756BDC20684E38AB4F9409DF6919BC165672EF1AF3DD2333E97064729EEEI4q7N" TargetMode="External"/><Relationship Id="rId41" Type="http://schemas.openxmlformats.org/officeDocument/2006/relationships/hyperlink" Target="consultantplus://offline/ref=66B3325A9FD217F28F60756BDC20684E38AB4F9409DF6919BC165672EF1AF3DD2333E97064729EECI4q0N" TargetMode="External"/><Relationship Id="rId54" Type="http://schemas.openxmlformats.org/officeDocument/2006/relationships/hyperlink" Target="consultantplus://offline/ref=66B3325A9FD217F28F60756BDC20684E38AB4F9409DF6919BC165672EF1AF3DD2333E97064729EEAI4q3N" TargetMode="External"/><Relationship Id="rId62" Type="http://schemas.openxmlformats.org/officeDocument/2006/relationships/hyperlink" Target="consultantplus://offline/ref=66B3325A9FD217F28F60756BDC20684E38A54B9C0BDC6919BC165672EF1AF3DD2333E97064729EEEI4q5N" TargetMode="External"/><Relationship Id="rId70" Type="http://schemas.openxmlformats.org/officeDocument/2006/relationships/hyperlink" Target="consultantplus://offline/ref=66B3325A9FD217F28F60756BDC20684E38AB4F9409DF6919BC165672EF1AF3DD2333E97064729EE9I4qFN" TargetMode="External"/><Relationship Id="rId75" Type="http://schemas.openxmlformats.org/officeDocument/2006/relationships/hyperlink" Target="consultantplus://offline/ref=66B3325A9FD217F28F60756BDC20684E38AB4F9409DF6919BC165672EF1AF3DD2333E97064729EE8I4q7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B3325A9FD217F28F60756BDC20684E38A5499C0FD56919BC165672EF1AF3DD2333E97064729EEEI4q6N" TargetMode="External"/><Relationship Id="rId15" Type="http://schemas.openxmlformats.org/officeDocument/2006/relationships/hyperlink" Target="consultantplus://offline/ref=66B3325A9FD217F28F60756BDC20684E38AA48930DD56919BC165672EF1AF3DD2333E97064729EEFI4qFN" TargetMode="External"/><Relationship Id="rId23" Type="http://schemas.openxmlformats.org/officeDocument/2006/relationships/hyperlink" Target="consultantplus://offline/ref=66B3325A9FD217F28F60756BDC20684E38AB4F9409DF6919BC165672EF1AF3DD2333E97064729EEDI4q2N" TargetMode="External"/><Relationship Id="rId28" Type="http://schemas.openxmlformats.org/officeDocument/2006/relationships/hyperlink" Target="consultantplus://offline/ref=66B3325A9FD217F28F60756BDC20684E38AB4F9409DF6919BC165672EF1AF3DD2333E97064729EEDI4q1N" TargetMode="External"/><Relationship Id="rId36" Type="http://schemas.openxmlformats.org/officeDocument/2006/relationships/hyperlink" Target="consultantplus://offline/ref=66B3325A9FD217F28F60756BDC20684E38A748910ADB6919BC165672EF1AF3DD2333E97064729EEBI4q7N" TargetMode="External"/><Relationship Id="rId49" Type="http://schemas.openxmlformats.org/officeDocument/2006/relationships/hyperlink" Target="consultantplus://offline/ref=66B3325A9FD217F28F60756BDC20684E38AB4F9409DF6919BC165672EF1AF3DD2333E97064729EEBI4qEN" TargetMode="External"/><Relationship Id="rId57" Type="http://schemas.openxmlformats.org/officeDocument/2006/relationships/hyperlink" Target="consultantplus://offline/ref=66B3325A9FD217F28F60756BDC20684E38AB4F9409DF6919BC165672EF1AF3DD2333E97064729EEAI4qEN" TargetMode="External"/><Relationship Id="rId10" Type="http://schemas.openxmlformats.org/officeDocument/2006/relationships/hyperlink" Target="consultantplus://offline/ref=66B3325A9FD217F28F60756BDC20684E30A54F9D08D73413B44F5A70E815ACCA247AE571647299IEqCN" TargetMode="External"/><Relationship Id="rId31" Type="http://schemas.openxmlformats.org/officeDocument/2006/relationships/hyperlink" Target="consultantplus://offline/ref=66B3325A9FD217F28F60756BDC20684E3BA34C900BD96919BC165672EF1AF3DD2333E97064729EEAI4q3N" TargetMode="External"/><Relationship Id="rId44" Type="http://schemas.openxmlformats.org/officeDocument/2006/relationships/hyperlink" Target="consultantplus://offline/ref=66B3325A9FD217F28F60756BDC20684E38AA48930DD56919BC165672EF1AF3DD2333E97064729EEEI4q2N" TargetMode="External"/><Relationship Id="rId52" Type="http://schemas.openxmlformats.org/officeDocument/2006/relationships/hyperlink" Target="consultantplus://offline/ref=66B3325A9FD217F28F60756BDC20684E38A748910ADB6919BC165672EF1AF3DD2333E97064729EEAI4q2N" TargetMode="External"/><Relationship Id="rId60" Type="http://schemas.openxmlformats.org/officeDocument/2006/relationships/hyperlink" Target="consultantplus://offline/ref=66B3325A9FD217F28F60756BDC20684E38AB4F9409DF6919BC165672EF1AF3DD2333E97064729EE9I4q6N" TargetMode="External"/><Relationship Id="rId65" Type="http://schemas.openxmlformats.org/officeDocument/2006/relationships/hyperlink" Target="consultantplus://offline/ref=66B3325A9FD217F28F60756BDC20684E38AB4F9409DF6919BC165672EF1AF3DD2333E97064729EE9I4q2N" TargetMode="External"/><Relationship Id="rId73" Type="http://schemas.openxmlformats.org/officeDocument/2006/relationships/hyperlink" Target="consultantplus://offline/ref=66B3325A9FD217F28F60756BDC20684E38A748910ADB6919BC165672EF1AF3DD2333E97064729EE9I4q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B3325A9FD217F28F60756BDC20684E38AA48930DD56919BC165672EF1AF3DD2333E97064729EEFI4qFN" TargetMode="External"/><Relationship Id="rId13" Type="http://schemas.openxmlformats.org/officeDocument/2006/relationships/hyperlink" Target="consultantplus://offline/ref=66B3325A9FD217F28F60756BDC20684E38A54B9C0BDC6919BC165672EF1AF3DD2333E97064729EEFI4qEN" TargetMode="External"/><Relationship Id="rId18" Type="http://schemas.openxmlformats.org/officeDocument/2006/relationships/hyperlink" Target="consultantplus://offline/ref=66B3325A9FD217F28F60756BDC20684E38A5499C0FD56919BC165672EF1AF3DD2333E97064729EEEI4q6N" TargetMode="External"/><Relationship Id="rId39" Type="http://schemas.openxmlformats.org/officeDocument/2006/relationships/hyperlink" Target="consultantplus://offline/ref=66B3325A9FD217F28F60756BDC20684E38A748910ADB6919BC165672EF1AF3DD2333E97064729EEBI4q1N" TargetMode="External"/><Relationship Id="rId34" Type="http://schemas.openxmlformats.org/officeDocument/2006/relationships/hyperlink" Target="consultantplus://offline/ref=66B3325A9FD217F28F60756BDC20684E38A54B9C0BDC6919BC165672EF1AF3DD2333E97064729EEEI4q6N" TargetMode="External"/><Relationship Id="rId50" Type="http://schemas.openxmlformats.org/officeDocument/2006/relationships/hyperlink" Target="consultantplus://offline/ref=66B3325A9FD217F28F60756BDC20684E38AB4F9409DF6919BC165672EF1AF3DD2333E97064729EEAI4q6N" TargetMode="External"/><Relationship Id="rId55" Type="http://schemas.openxmlformats.org/officeDocument/2006/relationships/hyperlink" Target="consultantplus://offline/ref=66B3325A9FD217F28F60756BDC20684E38AB4F9409DF6919BC165672EF1AF3DD2333E97064729EEAI4q0N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66B3325A9FD217F28F60756BDC20684E38A54B9C0BDC6919BC165672EF1AF3DD2333E97064729EEFI4q3N" TargetMode="External"/><Relationship Id="rId71" Type="http://schemas.openxmlformats.org/officeDocument/2006/relationships/hyperlink" Target="consultantplus://offline/ref=66B3325A9FD217F28F60756BDC20684E38AA489305DC6919BC165672EF1AF3DD2333E97362I7q3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66B3325A9FD217F28F60756BDC20684E38AA48930DD56919BC165672EF1AF3DD2333E97064729EEEI4q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7762</Words>
  <Characters>44245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dcterms:created xsi:type="dcterms:W3CDTF">2016-12-16T13:42:00Z</dcterms:created>
  <dcterms:modified xsi:type="dcterms:W3CDTF">2016-12-16T13:42:00Z</dcterms:modified>
</cp:coreProperties>
</file>